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01C" w:rsidRPr="00152D4D" w:rsidRDefault="009A7FFD" w:rsidP="00152D4D">
      <w:pPr>
        <w:pStyle w:val="BodyText"/>
        <w:ind w:left="2884"/>
        <w:rPr>
          <w:rFonts w:ascii="Times New Roman"/>
          <w:sz w:val="20"/>
        </w:rPr>
      </w:pPr>
      <w:r>
        <w:rPr>
          <w:rFonts w:ascii="Times New Roman"/>
          <w:noProof/>
          <w:sz w:val="20"/>
          <w:lang w:bidi="ar-SA"/>
        </w:rPr>
        <w:drawing>
          <wp:inline distT="0" distB="0" distL="0" distR="0">
            <wp:extent cx="2077934" cy="1542288"/>
            <wp:effectExtent l="0" t="0" r="0" b="0"/>
            <wp:docPr id="1" name="image1.jpeg"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77934" cy="1542288"/>
                    </a:xfrm>
                    <a:prstGeom prst="rect">
                      <a:avLst/>
                    </a:prstGeom>
                  </pic:spPr>
                </pic:pic>
              </a:graphicData>
            </a:graphic>
          </wp:inline>
        </w:drawing>
      </w:r>
    </w:p>
    <w:p w:rsidR="00152D4D" w:rsidRDefault="00152D4D" w:rsidP="0035071C">
      <w:pPr>
        <w:pStyle w:val="Title"/>
        <w:jc w:val="center"/>
        <w:rPr>
          <w:rFonts w:ascii="Verdana" w:hAnsi="Verdana"/>
          <w:sz w:val="48"/>
          <w:szCs w:val="48"/>
        </w:rPr>
      </w:pPr>
      <w:bookmarkStart w:id="0" w:name="Student_Appeals_Procedure"/>
      <w:bookmarkEnd w:id="0"/>
    </w:p>
    <w:p w:rsidR="00E3201C" w:rsidRPr="0035071C" w:rsidRDefault="009A7FFD" w:rsidP="0035071C">
      <w:pPr>
        <w:pStyle w:val="Title"/>
        <w:jc w:val="center"/>
        <w:rPr>
          <w:rFonts w:ascii="Verdana" w:hAnsi="Verdana"/>
          <w:sz w:val="48"/>
          <w:szCs w:val="48"/>
        </w:rPr>
      </w:pPr>
      <w:r w:rsidRPr="0035071C">
        <w:rPr>
          <w:rFonts w:ascii="Verdana" w:hAnsi="Verdana"/>
          <w:sz w:val="48"/>
          <w:szCs w:val="48"/>
        </w:rPr>
        <w:t>Student Appeals Procedure</w:t>
      </w:r>
    </w:p>
    <w:p w:rsidR="00E3201C" w:rsidRDefault="00E3201C">
      <w:pPr>
        <w:pStyle w:val="BodyText"/>
        <w:rPr>
          <w:b/>
          <w:sz w:val="20"/>
        </w:rPr>
      </w:pPr>
    </w:p>
    <w:p w:rsidR="0035071C" w:rsidRDefault="0035071C">
      <w:pPr>
        <w:pStyle w:val="BodyText"/>
        <w:rPr>
          <w:b/>
          <w:sz w:val="20"/>
        </w:rPr>
      </w:pPr>
    </w:p>
    <w:p w:rsidR="00E3201C" w:rsidRPr="007226B4" w:rsidRDefault="0035071C" w:rsidP="00566426">
      <w:pPr>
        <w:pStyle w:val="BodyText"/>
        <w:ind w:left="720" w:firstLine="720"/>
        <w:rPr>
          <w:sz w:val="24"/>
          <w:szCs w:val="24"/>
        </w:rPr>
      </w:pPr>
      <w:r w:rsidRPr="00566426">
        <w:rPr>
          <w:sz w:val="24"/>
          <w:szCs w:val="24"/>
        </w:rPr>
        <w:t>Issue</w:t>
      </w:r>
      <w:r w:rsidRPr="00566426">
        <w:rPr>
          <w:sz w:val="24"/>
          <w:szCs w:val="24"/>
        </w:rPr>
        <w:tab/>
      </w:r>
      <w:r w:rsidR="00566426">
        <w:rPr>
          <w:sz w:val="24"/>
          <w:szCs w:val="24"/>
        </w:rPr>
        <w:t>Date</w:t>
      </w:r>
      <w:r w:rsidR="00152D4D" w:rsidRPr="00566426">
        <w:rPr>
          <w:sz w:val="24"/>
          <w:szCs w:val="24"/>
        </w:rPr>
        <w:tab/>
      </w:r>
      <w:r w:rsidR="00152D4D" w:rsidRPr="00566426">
        <w:rPr>
          <w:sz w:val="24"/>
          <w:szCs w:val="24"/>
        </w:rPr>
        <w:tab/>
      </w:r>
      <w:r w:rsidRPr="007226B4">
        <w:rPr>
          <w:sz w:val="24"/>
          <w:szCs w:val="24"/>
        </w:rPr>
        <w:t>April 2024</w:t>
      </w:r>
    </w:p>
    <w:p w:rsidR="0035071C" w:rsidRPr="007226B4" w:rsidRDefault="0035071C">
      <w:pPr>
        <w:pStyle w:val="BodyText"/>
        <w:rPr>
          <w:sz w:val="24"/>
          <w:szCs w:val="24"/>
        </w:rPr>
      </w:pPr>
    </w:p>
    <w:p w:rsidR="0035071C" w:rsidRPr="007226B4" w:rsidRDefault="0035071C" w:rsidP="0035071C">
      <w:pPr>
        <w:pStyle w:val="BodyText"/>
        <w:ind w:left="720" w:firstLine="720"/>
        <w:rPr>
          <w:sz w:val="24"/>
          <w:szCs w:val="24"/>
        </w:rPr>
      </w:pPr>
      <w:r w:rsidRPr="007226B4">
        <w:rPr>
          <w:sz w:val="24"/>
          <w:szCs w:val="24"/>
        </w:rPr>
        <w:t>Review Date</w:t>
      </w:r>
      <w:r w:rsidRPr="007226B4">
        <w:rPr>
          <w:sz w:val="24"/>
          <w:szCs w:val="24"/>
        </w:rPr>
        <w:tab/>
        <w:t>April 2026</w:t>
      </w:r>
    </w:p>
    <w:p w:rsidR="0035071C" w:rsidRPr="007226B4" w:rsidRDefault="0035071C">
      <w:pPr>
        <w:pStyle w:val="BodyText"/>
        <w:rPr>
          <w:sz w:val="24"/>
          <w:szCs w:val="24"/>
        </w:rPr>
      </w:pPr>
    </w:p>
    <w:p w:rsidR="00566426" w:rsidRPr="007226B4" w:rsidRDefault="00566426" w:rsidP="00566426">
      <w:pPr>
        <w:pStyle w:val="TableParagraph"/>
        <w:spacing w:line="267" w:lineRule="exact"/>
        <w:ind w:left="3600" w:hanging="2160"/>
        <w:rPr>
          <w:sz w:val="24"/>
          <w:szCs w:val="24"/>
        </w:rPr>
      </w:pPr>
      <w:r w:rsidRPr="007226B4">
        <w:rPr>
          <w:sz w:val="24"/>
          <w:szCs w:val="24"/>
        </w:rPr>
        <w:t>Originator</w:t>
      </w:r>
      <w:r w:rsidRPr="007226B4">
        <w:rPr>
          <w:sz w:val="24"/>
          <w:szCs w:val="24"/>
        </w:rPr>
        <w:tab/>
      </w:r>
      <w:r w:rsidR="0035071C" w:rsidRPr="007226B4">
        <w:rPr>
          <w:sz w:val="24"/>
          <w:szCs w:val="24"/>
        </w:rPr>
        <w:t>Nikki Neale</w:t>
      </w:r>
      <w:r w:rsidRPr="007226B4">
        <w:rPr>
          <w:sz w:val="24"/>
          <w:szCs w:val="24"/>
        </w:rPr>
        <w:t xml:space="preserve">, </w:t>
      </w:r>
      <w:r w:rsidR="0009059C" w:rsidRPr="007226B4">
        <w:rPr>
          <w:sz w:val="24"/>
          <w:szCs w:val="24"/>
        </w:rPr>
        <w:t>Vice Principal Curriculum, Quality, Teaching and Learning</w:t>
      </w:r>
    </w:p>
    <w:p w:rsidR="00566426" w:rsidRDefault="00566426" w:rsidP="00566426">
      <w:pPr>
        <w:pStyle w:val="TableParagraph"/>
        <w:spacing w:line="267" w:lineRule="exact"/>
        <w:ind w:left="3600" w:hanging="2160"/>
        <w:rPr>
          <w:color w:val="FF0000"/>
          <w:sz w:val="24"/>
          <w:szCs w:val="24"/>
        </w:rPr>
      </w:pPr>
    </w:p>
    <w:p w:rsidR="0035071C" w:rsidRPr="00566426" w:rsidRDefault="00566426" w:rsidP="00566426">
      <w:pPr>
        <w:pStyle w:val="TableParagraph"/>
        <w:spacing w:line="267" w:lineRule="exact"/>
        <w:ind w:left="3600" w:hanging="2160"/>
        <w:rPr>
          <w:color w:val="FF0000"/>
          <w:sz w:val="24"/>
          <w:szCs w:val="24"/>
        </w:rPr>
      </w:pPr>
      <w:r w:rsidRPr="007226B4">
        <w:rPr>
          <w:sz w:val="24"/>
          <w:szCs w:val="24"/>
        </w:rPr>
        <w:t>Location</w:t>
      </w:r>
      <w:r>
        <w:rPr>
          <w:color w:val="FF0000"/>
          <w:sz w:val="24"/>
          <w:szCs w:val="24"/>
        </w:rPr>
        <w:tab/>
      </w:r>
      <w:r w:rsidR="0035071C" w:rsidRPr="00566426">
        <w:rPr>
          <w:sz w:val="24"/>
          <w:szCs w:val="24"/>
        </w:rPr>
        <w:t>BIZ-SharePoint/Intranet/Policies &amp; Procedures/Learner Services &amp; Support</w:t>
      </w:r>
    </w:p>
    <w:p w:rsidR="0035071C" w:rsidRPr="00566426" w:rsidRDefault="0035071C" w:rsidP="0035071C">
      <w:pPr>
        <w:pStyle w:val="BodyText"/>
        <w:rPr>
          <w:sz w:val="24"/>
          <w:szCs w:val="24"/>
        </w:rPr>
      </w:pPr>
    </w:p>
    <w:p w:rsidR="0035071C" w:rsidRPr="00566426" w:rsidRDefault="00566426" w:rsidP="0035071C">
      <w:pPr>
        <w:pStyle w:val="BodyText"/>
        <w:ind w:left="3600" w:hanging="2160"/>
        <w:rPr>
          <w:sz w:val="24"/>
          <w:szCs w:val="24"/>
        </w:rPr>
      </w:pPr>
      <w:r>
        <w:rPr>
          <w:sz w:val="24"/>
          <w:szCs w:val="24"/>
        </w:rPr>
        <w:t>Approved by</w:t>
      </w:r>
      <w:r>
        <w:rPr>
          <w:sz w:val="24"/>
          <w:szCs w:val="24"/>
        </w:rPr>
        <w:tab/>
      </w:r>
      <w:r w:rsidR="0035071C" w:rsidRPr="00566426">
        <w:rPr>
          <w:sz w:val="24"/>
          <w:szCs w:val="24"/>
        </w:rPr>
        <w:t>Senior Leadership Team –</w:t>
      </w:r>
      <w:r w:rsidR="0009059C" w:rsidRPr="00566426">
        <w:rPr>
          <w:sz w:val="24"/>
          <w:szCs w:val="24"/>
        </w:rPr>
        <w:t xml:space="preserve"> 16 May 2024</w:t>
      </w:r>
    </w:p>
    <w:p w:rsidR="0035071C" w:rsidRPr="00566426" w:rsidRDefault="0035071C" w:rsidP="0035071C">
      <w:pPr>
        <w:pStyle w:val="BodyText"/>
        <w:ind w:left="3600" w:hanging="2160"/>
        <w:rPr>
          <w:sz w:val="24"/>
          <w:szCs w:val="24"/>
        </w:rPr>
      </w:pPr>
    </w:p>
    <w:p w:rsidR="0035071C" w:rsidRPr="00566426" w:rsidRDefault="0035071C" w:rsidP="0035071C">
      <w:pPr>
        <w:pStyle w:val="BodyText"/>
        <w:ind w:left="3600" w:hanging="2160"/>
        <w:rPr>
          <w:sz w:val="24"/>
          <w:szCs w:val="24"/>
        </w:rPr>
      </w:pPr>
      <w:r w:rsidRPr="00566426">
        <w:rPr>
          <w:sz w:val="24"/>
          <w:szCs w:val="24"/>
        </w:rPr>
        <w:t>Version</w:t>
      </w:r>
      <w:r w:rsidRPr="00566426">
        <w:rPr>
          <w:sz w:val="24"/>
          <w:szCs w:val="24"/>
        </w:rPr>
        <w:tab/>
        <w:t>3.0</w:t>
      </w:r>
    </w:p>
    <w:p w:rsidR="0035071C" w:rsidRPr="00566426" w:rsidRDefault="0035071C" w:rsidP="0035071C">
      <w:pPr>
        <w:pStyle w:val="BodyText"/>
        <w:ind w:left="3600" w:hanging="2160"/>
        <w:rPr>
          <w:sz w:val="24"/>
          <w:szCs w:val="24"/>
        </w:rPr>
      </w:pPr>
    </w:p>
    <w:p w:rsidR="0035071C" w:rsidRPr="00566426" w:rsidRDefault="0035071C" w:rsidP="0035071C">
      <w:pPr>
        <w:pStyle w:val="BodyText"/>
        <w:ind w:left="3600" w:hanging="2160"/>
        <w:rPr>
          <w:sz w:val="24"/>
          <w:szCs w:val="24"/>
        </w:rPr>
      </w:pPr>
      <w:r w:rsidRPr="00566426">
        <w:rPr>
          <w:sz w:val="24"/>
          <w:szCs w:val="24"/>
        </w:rPr>
        <w:t>Categor</w:t>
      </w:r>
      <w:r w:rsidR="003054A9">
        <w:rPr>
          <w:sz w:val="24"/>
          <w:szCs w:val="24"/>
        </w:rPr>
        <w:t>y</w:t>
      </w:r>
      <w:bookmarkStart w:id="1" w:name="_GoBack"/>
      <w:bookmarkEnd w:id="1"/>
      <w:r w:rsidRPr="00566426">
        <w:rPr>
          <w:sz w:val="24"/>
          <w:szCs w:val="24"/>
        </w:rPr>
        <w:tab/>
        <w:t>Public</w:t>
      </w:r>
    </w:p>
    <w:p w:rsidR="00E3201C" w:rsidRPr="00566426" w:rsidRDefault="00E3201C">
      <w:pPr>
        <w:pStyle w:val="BodyText"/>
        <w:spacing w:before="1"/>
        <w:rPr>
          <w:b/>
          <w:sz w:val="24"/>
          <w:szCs w:val="24"/>
        </w:rPr>
      </w:pPr>
    </w:p>
    <w:p w:rsidR="00225497" w:rsidRPr="00566426" w:rsidRDefault="00225497" w:rsidP="00566426"/>
    <w:p w:rsidR="00225497" w:rsidRDefault="00225497">
      <w:pPr>
        <w:rPr>
          <w:b/>
          <w:bCs/>
        </w:rPr>
      </w:pPr>
      <w:r>
        <w:br w:type="page"/>
      </w:r>
    </w:p>
    <w:p w:rsidR="00E3201C" w:rsidRPr="0035071C" w:rsidRDefault="009A7FFD">
      <w:pPr>
        <w:pStyle w:val="Heading1"/>
        <w:numPr>
          <w:ilvl w:val="0"/>
          <w:numId w:val="2"/>
        </w:numPr>
        <w:tabs>
          <w:tab w:val="left" w:pos="839"/>
          <w:tab w:val="left" w:pos="841"/>
        </w:tabs>
        <w:spacing w:before="105"/>
        <w:rPr>
          <w:b w:val="0"/>
          <w:sz w:val="28"/>
          <w:szCs w:val="28"/>
        </w:rPr>
      </w:pPr>
      <w:r w:rsidRPr="0035071C">
        <w:rPr>
          <w:b w:val="0"/>
          <w:sz w:val="28"/>
          <w:szCs w:val="28"/>
        </w:rPr>
        <w:lastRenderedPageBreak/>
        <w:t>Rationale</w:t>
      </w:r>
    </w:p>
    <w:p w:rsidR="00E3201C" w:rsidRDefault="00E3201C">
      <w:pPr>
        <w:pStyle w:val="BodyText"/>
        <w:rPr>
          <w:b/>
        </w:rPr>
      </w:pPr>
    </w:p>
    <w:p w:rsidR="00E3201C" w:rsidRDefault="009A7FFD" w:rsidP="0035071C">
      <w:pPr>
        <w:pStyle w:val="ListParagraph"/>
        <w:numPr>
          <w:ilvl w:val="1"/>
          <w:numId w:val="2"/>
        </w:numPr>
        <w:tabs>
          <w:tab w:val="left" w:pos="839"/>
          <w:tab w:val="left" w:pos="840"/>
        </w:tabs>
        <w:ind w:right="821"/>
      </w:pPr>
      <w:r>
        <w:t>The following appeals procedure has been formulated to ensure that learners in the College are treated</w:t>
      </w:r>
      <w:r>
        <w:rPr>
          <w:spacing w:val="-7"/>
        </w:rPr>
        <w:t xml:space="preserve"> </w:t>
      </w:r>
      <w:r>
        <w:t>fairly.</w:t>
      </w:r>
    </w:p>
    <w:p w:rsidR="00E3201C" w:rsidRDefault="00E3201C" w:rsidP="0035071C">
      <w:pPr>
        <w:pStyle w:val="BodyText"/>
        <w:rPr>
          <w:sz w:val="21"/>
        </w:rPr>
      </w:pPr>
    </w:p>
    <w:p w:rsidR="00E3201C" w:rsidRDefault="009A7FFD" w:rsidP="0035071C">
      <w:pPr>
        <w:pStyle w:val="ListParagraph"/>
        <w:numPr>
          <w:ilvl w:val="1"/>
          <w:numId w:val="2"/>
        </w:numPr>
        <w:tabs>
          <w:tab w:val="left" w:pos="827"/>
          <w:tab w:val="left" w:pos="828"/>
        </w:tabs>
        <w:ind w:left="827" w:hanging="709"/>
      </w:pPr>
      <w:r>
        <w:t>Learners have the right to appeal if they</w:t>
      </w:r>
      <w:r>
        <w:rPr>
          <w:spacing w:val="-10"/>
        </w:rPr>
        <w:t xml:space="preserve"> </w:t>
      </w:r>
      <w:r>
        <w:t>consider:</w:t>
      </w:r>
    </w:p>
    <w:p w:rsidR="00E3201C" w:rsidRDefault="00E3201C" w:rsidP="0035071C">
      <w:pPr>
        <w:pStyle w:val="BodyText"/>
      </w:pPr>
    </w:p>
    <w:p w:rsidR="00E3201C" w:rsidRDefault="009A7FFD" w:rsidP="0035071C">
      <w:pPr>
        <w:pStyle w:val="ListParagraph"/>
        <w:numPr>
          <w:ilvl w:val="2"/>
          <w:numId w:val="2"/>
        </w:numPr>
        <w:tabs>
          <w:tab w:val="left" w:pos="1291"/>
          <w:tab w:val="left" w:pos="1292"/>
        </w:tabs>
        <w:ind w:right="402"/>
      </w:pPr>
      <w:r>
        <w:t>a complaint has not been satisfactorily resolved through the College Complaints</w:t>
      </w:r>
      <w:r>
        <w:rPr>
          <w:spacing w:val="1"/>
        </w:rPr>
        <w:t xml:space="preserve"> </w:t>
      </w:r>
      <w:r>
        <w:t>Procedure;</w:t>
      </w:r>
    </w:p>
    <w:p w:rsidR="00E3201C" w:rsidRDefault="009A7FFD" w:rsidP="0035071C">
      <w:pPr>
        <w:pStyle w:val="ListParagraph"/>
        <w:numPr>
          <w:ilvl w:val="2"/>
          <w:numId w:val="2"/>
        </w:numPr>
        <w:tabs>
          <w:tab w:val="left" w:pos="1291"/>
          <w:tab w:val="left" w:pos="1292"/>
        </w:tabs>
        <w:ind w:right="1003"/>
      </w:pPr>
      <w:r>
        <w:t>a complaint of harassment has not been satisfactorily resolved through the College Anti-bullying</w:t>
      </w:r>
      <w:r>
        <w:rPr>
          <w:spacing w:val="-8"/>
        </w:rPr>
        <w:t xml:space="preserve"> </w:t>
      </w:r>
      <w:r>
        <w:t>Policy;</w:t>
      </w:r>
    </w:p>
    <w:p w:rsidR="00E3201C" w:rsidRPr="007226B4" w:rsidRDefault="009A7FFD" w:rsidP="0035071C">
      <w:pPr>
        <w:pStyle w:val="ListParagraph"/>
        <w:numPr>
          <w:ilvl w:val="2"/>
          <w:numId w:val="2"/>
        </w:numPr>
        <w:tabs>
          <w:tab w:val="left" w:pos="1291"/>
          <w:tab w:val="left" w:pos="1292"/>
        </w:tabs>
        <w:ind w:left="1293" w:right="193" w:hanging="363"/>
      </w:pPr>
      <w:r>
        <w:t xml:space="preserve">the College has not followed its Student Disciplinary </w:t>
      </w:r>
      <w:r w:rsidR="00EB5A26">
        <w:t>Policy</w:t>
      </w:r>
      <w:r w:rsidR="00EB5A26" w:rsidRPr="007226B4">
        <w:t xml:space="preserve">, Fitness to Study Policy, </w:t>
      </w:r>
      <w:r w:rsidRPr="007226B4">
        <w:t>or Studen</w:t>
      </w:r>
      <w:r w:rsidR="00EB5A26" w:rsidRPr="007226B4">
        <w:t xml:space="preserve">t </w:t>
      </w:r>
      <w:r w:rsidRPr="007226B4">
        <w:t>Attendance</w:t>
      </w:r>
      <w:r w:rsidRPr="007226B4">
        <w:rPr>
          <w:spacing w:val="-5"/>
        </w:rPr>
        <w:t xml:space="preserve"> </w:t>
      </w:r>
      <w:r w:rsidRPr="007226B4">
        <w:t>Procedures;</w:t>
      </w:r>
    </w:p>
    <w:p w:rsidR="00E3201C" w:rsidRPr="003D2128" w:rsidRDefault="009A7FFD" w:rsidP="0035071C">
      <w:pPr>
        <w:pStyle w:val="ListParagraph"/>
        <w:numPr>
          <w:ilvl w:val="2"/>
          <w:numId w:val="2"/>
        </w:numPr>
        <w:tabs>
          <w:tab w:val="left" w:pos="1291"/>
          <w:tab w:val="left" w:pos="1292"/>
        </w:tabs>
        <w:ind w:right="190"/>
      </w:pPr>
      <w:r w:rsidRPr="007226B4">
        <w:t xml:space="preserve">an assessment decision has not been resolved satisfactorily under </w:t>
      </w:r>
      <w:r>
        <w:t xml:space="preserve">the </w:t>
      </w:r>
      <w:r w:rsidRPr="003D2128">
        <w:t>College Assessment</w:t>
      </w:r>
      <w:r w:rsidRPr="003D2128">
        <w:rPr>
          <w:spacing w:val="-3"/>
        </w:rPr>
        <w:t xml:space="preserve"> </w:t>
      </w:r>
      <w:r w:rsidRPr="003D2128">
        <w:t xml:space="preserve">Procedure </w:t>
      </w:r>
    </w:p>
    <w:p w:rsidR="00E3201C" w:rsidRPr="003D2128" w:rsidRDefault="009A7FFD" w:rsidP="0035071C">
      <w:pPr>
        <w:pStyle w:val="ListParagraph"/>
        <w:numPr>
          <w:ilvl w:val="2"/>
          <w:numId w:val="2"/>
        </w:numPr>
        <w:tabs>
          <w:tab w:val="left" w:pos="1291"/>
          <w:tab w:val="left" w:pos="1292"/>
        </w:tabs>
      </w:pPr>
      <w:r w:rsidRPr="003D2128">
        <w:t>they have been treated unfairly under the College Admissions</w:t>
      </w:r>
      <w:r w:rsidRPr="003D2128">
        <w:rPr>
          <w:spacing w:val="-22"/>
        </w:rPr>
        <w:t xml:space="preserve"> </w:t>
      </w:r>
      <w:r w:rsidRPr="003D2128">
        <w:t>Policy.</w:t>
      </w:r>
    </w:p>
    <w:p w:rsidR="00E3201C" w:rsidRPr="003D2128" w:rsidRDefault="00E3201C" w:rsidP="0035071C">
      <w:pPr>
        <w:pStyle w:val="BodyText"/>
        <w:rPr>
          <w:sz w:val="21"/>
        </w:rPr>
      </w:pPr>
    </w:p>
    <w:p w:rsidR="00E3201C" w:rsidRPr="003D2128" w:rsidRDefault="009A7FFD" w:rsidP="0035071C">
      <w:pPr>
        <w:pStyle w:val="ListParagraph"/>
        <w:numPr>
          <w:ilvl w:val="1"/>
          <w:numId w:val="2"/>
        </w:numPr>
        <w:tabs>
          <w:tab w:val="left" w:pos="840"/>
          <w:tab w:val="left" w:pos="841"/>
        </w:tabs>
        <w:ind w:left="840" w:right="251"/>
      </w:pPr>
      <w:r w:rsidRPr="003D2128">
        <w:t xml:space="preserve">In the case of appeal against an assessment decision, the learner may appeal through the Awarding Body’s appeals </w:t>
      </w:r>
      <w:r w:rsidR="003D2128" w:rsidRPr="003D2128">
        <w:t xml:space="preserve">procedure.  </w:t>
      </w:r>
      <w:r w:rsidR="00005B55" w:rsidRPr="003D2128">
        <w:t>HE learners can only appeal if they think the assessment process has not been followed, they cannot appeal an assessment decision/grade. (see Assessment, Appeals and Malpractice Policy)</w:t>
      </w:r>
      <w:r w:rsidR="003D2128">
        <w:t>.</w:t>
      </w:r>
    </w:p>
    <w:p w:rsidR="00E3201C" w:rsidRPr="003D2128" w:rsidRDefault="00E3201C" w:rsidP="0035071C">
      <w:pPr>
        <w:pStyle w:val="BodyText"/>
        <w:rPr>
          <w:sz w:val="25"/>
        </w:rPr>
      </w:pPr>
    </w:p>
    <w:p w:rsidR="00E3201C" w:rsidRPr="0035071C" w:rsidRDefault="009A7FFD" w:rsidP="0035071C">
      <w:pPr>
        <w:pStyle w:val="Heading1"/>
        <w:numPr>
          <w:ilvl w:val="0"/>
          <w:numId w:val="2"/>
        </w:numPr>
        <w:tabs>
          <w:tab w:val="left" w:pos="840"/>
          <w:tab w:val="left" w:pos="841"/>
        </w:tabs>
        <w:rPr>
          <w:b w:val="0"/>
          <w:sz w:val="28"/>
          <w:szCs w:val="28"/>
        </w:rPr>
      </w:pPr>
      <w:r w:rsidRPr="0035071C">
        <w:rPr>
          <w:b w:val="0"/>
          <w:sz w:val="28"/>
          <w:szCs w:val="28"/>
        </w:rPr>
        <w:t>Procedure</w:t>
      </w:r>
    </w:p>
    <w:p w:rsidR="00E3201C" w:rsidRDefault="00E3201C" w:rsidP="0035071C">
      <w:pPr>
        <w:pStyle w:val="BodyText"/>
        <w:rPr>
          <w:b/>
        </w:rPr>
      </w:pPr>
    </w:p>
    <w:p w:rsidR="00E3201C" w:rsidRDefault="009A7FFD" w:rsidP="0035071C">
      <w:pPr>
        <w:pStyle w:val="ListParagraph"/>
        <w:numPr>
          <w:ilvl w:val="1"/>
          <w:numId w:val="2"/>
        </w:numPr>
        <w:tabs>
          <w:tab w:val="left" w:pos="839"/>
          <w:tab w:val="left" w:pos="841"/>
        </w:tabs>
        <w:ind w:left="840" w:right="622"/>
      </w:pPr>
      <w:r>
        <w:t>The learner must lodge their appeal in writing to the Principal within 5 working days of the notification from the attendance, complaints, harassment or disciplinary</w:t>
      </w:r>
      <w:r>
        <w:rPr>
          <w:spacing w:val="-7"/>
        </w:rPr>
        <w:t xml:space="preserve"> </w:t>
      </w:r>
      <w:r>
        <w:t>panel.</w:t>
      </w:r>
    </w:p>
    <w:p w:rsidR="00E3201C" w:rsidRPr="00B84833" w:rsidRDefault="00E3201C" w:rsidP="0035071C">
      <w:pPr>
        <w:pStyle w:val="BodyText"/>
        <w:rPr>
          <w:color w:val="FF0000"/>
          <w:sz w:val="21"/>
        </w:rPr>
      </w:pPr>
    </w:p>
    <w:p w:rsidR="00E3201C" w:rsidRPr="003D2128" w:rsidRDefault="009A7FFD" w:rsidP="0035071C">
      <w:pPr>
        <w:pStyle w:val="ListParagraph"/>
        <w:numPr>
          <w:ilvl w:val="1"/>
          <w:numId w:val="2"/>
        </w:numPr>
        <w:tabs>
          <w:tab w:val="left" w:pos="839"/>
          <w:tab w:val="left" w:pos="840"/>
        </w:tabs>
        <w:ind w:right="196"/>
      </w:pPr>
      <w:r w:rsidRPr="003D2128">
        <w:t>In the case of Student Misconduct (not gross misconduct)</w:t>
      </w:r>
      <w:r w:rsidR="00B84833" w:rsidRPr="003D2128">
        <w:t xml:space="preserve"> </w:t>
      </w:r>
      <w:r w:rsidRPr="003D2128">
        <w:t xml:space="preserve">and Admissions issues </w:t>
      </w:r>
      <w:r w:rsidRPr="003D2128">
        <w:rPr>
          <w:b/>
        </w:rPr>
        <w:t xml:space="preserve">only </w:t>
      </w:r>
      <w:r w:rsidRPr="003D2128">
        <w:t xml:space="preserve">the learner must lodge their appeal in writing to the </w:t>
      </w:r>
      <w:r w:rsidR="00C55259">
        <w:t xml:space="preserve">Vice Principal Curriculum, Quality, Teaching and Learning </w:t>
      </w:r>
      <w:r w:rsidRPr="003D2128">
        <w:t xml:space="preserve">within 5 working days of notification of their exclusion from the College. The </w:t>
      </w:r>
      <w:r w:rsidR="00C55259">
        <w:t>Vice Principal Curriculum, Quality, Teaching and Learning</w:t>
      </w:r>
      <w:r w:rsidR="00C55259" w:rsidRPr="003D2128">
        <w:t xml:space="preserve"> </w:t>
      </w:r>
      <w:r w:rsidRPr="003D2128">
        <w:t xml:space="preserve">will evaluate the grounds for appeal and if there are no clear grounds for the appeal and the College has followed its procedures correctly an Appeals Panel will </w:t>
      </w:r>
      <w:r w:rsidRPr="00EB5A26">
        <w:rPr>
          <w:b/>
        </w:rPr>
        <w:t>not</w:t>
      </w:r>
      <w:r w:rsidRPr="003D2128">
        <w:t xml:space="preserve"> be called. You will be notified of the outcome in writing within 10 working days of the date of the</w:t>
      </w:r>
      <w:r w:rsidRPr="003D2128">
        <w:rPr>
          <w:spacing w:val="-9"/>
        </w:rPr>
        <w:t xml:space="preserve"> </w:t>
      </w:r>
      <w:r w:rsidRPr="003D2128">
        <w:t>appeal</w:t>
      </w:r>
    </w:p>
    <w:p w:rsidR="00E3201C" w:rsidRPr="003D2128" w:rsidRDefault="00E3201C" w:rsidP="0035071C">
      <w:pPr>
        <w:pStyle w:val="BodyText"/>
        <w:rPr>
          <w:sz w:val="25"/>
        </w:rPr>
      </w:pPr>
    </w:p>
    <w:p w:rsidR="00E3201C" w:rsidRDefault="009A7FFD" w:rsidP="0035071C">
      <w:pPr>
        <w:pStyle w:val="ListParagraph"/>
        <w:numPr>
          <w:ilvl w:val="1"/>
          <w:numId w:val="2"/>
        </w:numPr>
        <w:tabs>
          <w:tab w:val="left" w:pos="839"/>
          <w:tab w:val="left" w:pos="840"/>
        </w:tabs>
        <w:ind w:right="102"/>
      </w:pPr>
      <w:r w:rsidRPr="003D2128">
        <w:t xml:space="preserve">For appeals lodged with the Principal the Appeals Panel will meet within 10 </w:t>
      </w:r>
      <w:r>
        <w:t>working term time days of the appeal being received by the</w:t>
      </w:r>
      <w:r>
        <w:rPr>
          <w:spacing w:val="-19"/>
        </w:rPr>
        <w:t xml:space="preserve"> </w:t>
      </w:r>
      <w:r>
        <w:t>College.</w:t>
      </w:r>
    </w:p>
    <w:p w:rsidR="00E3201C" w:rsidRDefault="00E3201C" w:rsidP="0035071C">
      <w:pPr>
        <w:pStyle w:val="BodyText"/>
        <w:rPr>
          <w:sz w:val="21"/>
        </w:rPr>
      </w:pPr>
    </w:p>
    <w:p w:rsidR="00E3201C" w:rsidRPr="007226B4" w:rsidRDefault="009A7FFD" w:rsidP="0035071C">
      <w:pPr>
        <w:pStyle w:val="ListParagraph"/>
        <w:numPr>
          <w:ilvl w:val="1"/>
          <w:numId w:val="2"/>
        </w:numPr>
        <w:tabs>
          <w:tab w:val="left" w:pos="839"/>
          <w:tab w:val="left" w:pos="840"/>
        </w:tabs>
        <w:ind w:right="291"/>
      </w:pPr>
      <w:r>
        <w:t>The A</w:t>
      </w:r>
      <w:r w:rsidR="005F4FE8">
        <w:t xml:space="preserve">ppeals Panel will consist of </w:t>
      </w:r>
      <w:r w:rsidR="005F4FE8" w:rsidRPr="003D2128">
        <w:t>2</w:t>
      </w:r>
      <w:r w:rsidR="005F4FE8">
        <w:rPr>
          <w:color w:val="FF0000"/>
        </w:rPr>
        <w:t xml:space="preserve"> </w:t>
      </w:r>
      <w:r>
        <w:t xml:space="preserve">people drawn from the College’s </w:t>
      </w:r>
      <w:r w:rsidR="0009059C" w:rsidRPr="007226B4">
        <w:t>Senior Leadership T</w:t>
      </w:r>
      <w:r w:rsidRPr="007226B4">
        <w:t>eam and/or the College Governing Body. The members of the panel will not be connected with the case in any</w:t>
      </w:r>
      <w:r w:rsidRPr="007226B4">
        <w:rPr>
          <w:spacing w:val="-22"/>
        </w:rPr>
        <w:t xml:space="preserve"> </w:t>
      </w:r>
      <w:r w:rsidRPr="007226B4">
        <w:t>way.</w:t>
      </w:r>
    </w:p>
    <w:p w:rsidR="00E3201C" w:rsidRDefault="00E3201C" w:rsidP="0035071C">
      <w:pPr>
        <w:pStyle w:val="BodyText"/>
      </w:pPr>
    </w:p>
    <w:p w:rsidR="00E3201C" w:rsidRDefault="009A7FFD" w:rsidP="0035071C">
      <w:pPr>
        <w:pStyle w:val="ListParagraph"/>
        <w:numPr>
          <w:ilvl w:val="1"/>
          <w:numId w:val="2"/>
        </w:numPr>
        <w:tabs>
          <w:tab w:val="left" w:pos="839"/>
          <w:tab w:val="left" w:pos="840"/>
        </w:tabs>
        <w:ind w:right="223"/>
      </w:pPr>
      <w:r>
        <w:t>The learner may present his/her case to the Appeals Panel and may bring witnesses to support his/her case and may be accompanied by a parent, guardian or</w:t>
      </w:r>
      <w:r>
        <w:rPr>
          <w:spacing w:val="-5"/>
        </w:rPr>
        <w:t xml:space="preserve"> </w:t>
      </w:r>
      <w:r>
        <w:t>friend.</w:t>
      </w:r>
    </w:p>
    <w:p w:rsidR="00152D4D" w:rsidRDefault="00152D4D" w:rsidP="00152D4D">
      <w:pPr>
        <w:tabs>
          <w:tab w:val="left" w:pos="839"/>
          <w:tab w:val="left" w:pos="840"/>
        </w:tabs>
        <w:ind w:right="223"/>
      </w:pPr>
    </w:p>
    <w:p w:rsidR="00225497" w:rsidRDefault="009A7FFD" w:rsidP="0035071C">
      <w:pPr>
        <w:pStyle w:val="ListParagraph"/>
        <w:numPr>
          <w:ilvl w:val="1"/>
          <w:numId w:val="2"/>
        </w:numPr>
        <w:tabs>
          <w:tab w:val="left" w:pos="839"/>
          <w:tab w:val="left" w:pos="840"/>
        </w:tabs>
        <w:ind w:right="198" w:hanging="721"/>
      </w:pPr>
      <w:r>
        <w:t>Any new evidence to be brought by the learner must be submitted to the college 5 working days before the appeal is</w:t>
      </w:r>
      <w:r w:rsidRPr="00225497">
        <w:rPr>
          <w:spacing w:val="-10"/>
        </w:rPr>
        <w:t xml:space="preserve"> </w:t>
      </w:r>
      <w:r>
        <w:t>heard.</w:t>
      </w:r>
      <w:r w:rsidR="00225497">
        <w:t xml:space="preserve"> </w:t>
      </w:r>
    </w:p>
    <w:p w:rsidR="00152D4D" w:rsidRDefault="00152D4D" w:rsidP="00152D4D">
      <w:pPr>
        <w:pStyle w:val="ListParagraph"/>
        <w:tabs>
          <w:tab w:val="left" w:pos="839"/>
          <w:tab w:val="left" w:pos="840"/>
        </w:tabs>
        <w:ind w:right="198" w:firstLine="0"/>
      </w:pPr>
    </w:p>
    <w:p w:rsidR="00E3201C" w:rsidRDefault="009A7FFD" w:rsidP="0035071C">
      <w:pPr>
        <w:pStyle w:val="ListParagraph"/>
        <w:numPr>
          <w:ilvl w:val="1"/>
          <w:numId w:val="2"/>
        </w:numPr>
        <w:tabs>
          <w:tab w:val="left" w:pos="839"/>
          <w:tab w:val="left" w:pos="840"/>
        </w:tabs>
        <w:ind w:right="198" w:hanging="721"/>
      </w:pPr>
      <w:r>
        <w:t>If you cannot attend the hearing because of circumstances beyond your control you should advise the college as soon as possible. The College will make all reasonable efforts to reschedule any hearing. However, if you do not inform the College that you cannot attend the Appeals Panel will go ahead in your</w:t>
      </w:r>
      <w:r w:rsidRPr="00225497">
        <w:rPr>
          <w:spacing w:val="-5"/>
        </w:rPr>
        <w:t xml:space="preserve"> </w:t>
      </w:r>
      <w:r>
        <w:t>absence.</w:t>
      </w:r>
    </w:p>
    <w:p w:rsidR="0035071C" w:rsidRDefault="0035071C" w:rsidP="0035071C">
      <w:pPr>
        <w:pStyle w:val="ListParagraph"/>
        <w:tabs>
          <w:tab w:val="left" w:pos="839"/>
          <w:tab w:val="left" w:pos="840"/>
        </w:tabs>
        <w:ind w:right="198" w:firstLine="0"/>
      </w:pPr>
    </w:p>
    <w:p w:rsidR="00E3201C" w:rsidRPr="0035071C" w:rsidRDefault="009A7FFD" w:rsidP="0035071C">
      <w:pPr>
        <w:pStyle w:val="Heading1"/>
        <w:numPr>
          <w:ilvl w:val="0"/>
          <w:numId w:val="2"/>
        </w:numPr>
        <w:tabs>
          <w:tab w:val="left" w:pos="839"/>
          <w:tab w:val="left" w:pos="840"/>
        </w:tabs>
        <w:ind w:left="839" w:hanging="720"/>
        <w:rPr>
          <w:b w:val="0"/>
          <w:sz w:val="28"/>
          <w:szCs w:val="28"/>
        </w:rPr>
      </w:pPr>
      <w:r w:rsidRPr="0035071C">
        <w:rPr>
          <w:b w:val="0"/>
          <w:sz w:val="28"/>
          <w:szCs w:val="28"/>
        </w:rPr>
        <w:t>Right to be</w:t>
      </w:r>
      <w:r w:rsidRPr="0035071C">
        <w:rPr>
          <w:b w:val="0"/>
          <w:spacing w:val="-5"/>
          <w:sz w:val="28"/>
          <w:szCs w:val="28"/>
        </w:rPr>
        <w:t xml:space="preserve"> </w:t>
      </w:r>
      <w:r w:rsidRPr="0035071C">
        <w:rPr>
          <w:b w:val="0"/>
          <w:sz w:val="28"/>
          <w:szCs w:val="28"/>
        </w:rPr>
        <w:t>Accompanied</w:t>
      </w:r>
    </w:p>
    <w:p w:rsidR="00E3201C" w:rsidRDefault="00E3201C" w:rsidP="0035071C">
      <w:pPr>
        <w:pStyle w:val="BodyText"/>
        <w:rPr>
          <w:b/>
        </w:rPr>
      </w:pPr>
    </w:p>
    <w:p w:rsidR="00E3201C" w:rsidRDefault="009A7FFD" w:rsidP="0035071C">
      <w:pPr>
        <w:pStyle w:val="ListParagraph"/>
        <w:numPr>
          <w:ilvl w:val="1"/>
          <w:numId w:val="2"/>
        </w:numPr>
        <w:tabs>
          <w:tab w:val="left" w:pos="839"/>
          <w:tab w:val="left" w:pos="840"/>
        </w:tabs>
        <w:ind w:right="207"/>
      </w:pPr>
      <w:r>
        <w:t>You have the right to bring a friend, guardian or parent to the appeal. The choice of companion is a matter for you and you must notify the college of your choice prior to the appeal hearing. In the case of vulnerable students</w:t>
      </w:r>
      <w:r w:rsidR="0035071C">
        <w:t>,</w:t>
      </w:r>
      <w:r>
        <w:t xml:space="preserve"> it is advised that a companion accompany you. If this is not possible the College will provide an advocate to support you during the</w:t>
      </w:r>
      <w:r>
        <w:rPr>
          <w:spacing w:val="-2"/>
        </w:rPr>
        <w:t xml:space="preserve"> </w:t>
      </w:r>
      <w:r>
        <w:t>meeting.</w:t>
      </w:r>
    </w:p>
    <w:p w:rsidR="00225497" w:rsidRDefault="00225497" w:rsidP="0035071C">
      <w:pPr>
        <w:pStyle w:val="ListParagraph"/>
        <w:tabs>
          <w:tab w:val="left" w:pos="839"/>
          <w:tab w:val="left" w:pos="840"/>
        </w:tabs>
        <w:ind w:right="207" w:firstLine="0"/>
      </w:pPr>
    </w:p>
    <w:p w:rsidR="00152D4D" w:rsidRDefault="009A7FFD" w:rsidP="00152D4D">
      <w:pPr>
        <w:pStyle w:val="BodyText"/>
        <w:ind w:left="839" w:right="204"/>
      </w:pPr>
      <w:r>
        <w:t>If the college believes that your choice of companion is unreasonable, the college will ask you to choose someone else. For example, if in the college’s opinion your companion:</w:t>
      </w:r>
    </w:p>
    <w:p w:rsidR="00152D4D" w:rsidRDefault="00152D4D" w:rsidP="00152D4D">
      <w:pPr>
        <w:pStyle w:val="BodyText"/>
        <w:ind w:left="839" w:right="204"/>
      </w:pPr>
    </w:p>
    <w:p w:rsidR="00152D4D" w:rsidRDefault="009A7FFD" w:rsidP="00152D4D">
      <w:pPr>
        <w:pStyle w:val="BodyText"/>
        <w:numPr>
          <w:ilvl w:val="0"/>
          <w:numId w:val="3"/>
        </w:numPr>
        <w:ind w:right="204"/>
      </w:pPr>
      <w:r>
        <w:t>may have a conflict of interest or prejudice the</w:t>
      </w:r>
      <w:r w:rsidRPr="00152D4D">
        <w:rPr>
          <w:spacing w:val="-16"/>
        </w:rPr>
        <w:t xml:space="preserve"> </w:t>
      </w:r>
      <w:r>
        <w:t>meeting;</w:t>
      </w:r>
    </w:p>
    <w:p w:rsidR="00152D4D" w:rsidRDefault="00152D4D" w:rsidP="00152D4D">
      <w:pPr>
        <w:pStyle w:val="BodyText"/>
        <w:ind w:left="1559" w:right="204"/>
      </w:pPr>
    </w:p>
    <w:p w:rsidR="00152D4D" w:rsidRDefault="009A7FFD" w:rsidP="00152D4D">
      <w:pPr>
        <w:pStyle w:val="BodyText"/>
        <w:numPr>
          <w:ilvl w:val="0"/>
          <w:numId w:val="3"/>
        </w:numPr>
        <w:ind w:right="204"/>
      </w:pPr>
      <w:r>
        <w:t>is unavailable at the time of the meeting, if the original meeting date has already been re-arranged once due to the companion’s non availability.</w:t>
      </w:r>
    </w:p>
    <w:p w:rsidR="00152D4D" w:rsidRPr="007226B4" w:rsidRDefault="00152D4D" w:rsidP="00152D4D">
      <w:pPr>
        <w:pStyle w:val="ListParagraph"/>
      </w:pPr>
    </w:p>
    <w:p w:rsidR="00EB5A26" w:rsidRDefault="00EB5A26" w:rsidP="00152D4D">
      <w:pPr>
        <w:pStyle w:val="BodyText"/>
        <w:numPr>
          <w:ilvl w:val="0"/>
          <w:numId w:val="3"/>
        </w:numPr>
        <w:ind w:right="204"/>
      </w:pPr>
      <w:r w:rsidRPr="007226B4">
        <w:t>The person who accompanies the complainant should not be a solicitor acting in a professional capacity</w:t>
      </w:r>
      <w:r w:rsidRPr="00152D4D">
        <w:rPr>
          <w:color w:val="FF0000"/>
        </w:rPr>
        <w:t>.</w:t>
      </w:r>
    </w:p>
    <w:p w:rsidR="00E3201C" w:rsidRDefault="00E3201C" w:rsidP="0035071C">
      <w:pPr>
        <w:pStyle w:val="BodyText"/>
      </w:pPr>
    </w:p>
    <w:p w:rsidR="00E3201C" w:rsidRDefault="009A7FFD" w:rsidP="0035071C">
      <w:pPr>
        <w:pStyle w:val="ListParagraph"/>
        <w:numPr>
          <w:ilvl w:val="1"/>
          <w:numId w:val="2"/>
        </w:numPr>
        <w:tabs>
          <w:tab w:val="left" w:pos="840"/>
          <w:tab w:val="left" w:pos="841"/>
        </w:tabs>
        <w:ind w:left="840" w:right="328"/>
      </w:pPr>
      <w:r>
        <w:t>At an appeal hearing, your companion may address the panel and respond on your behalf to any views expressed. However, the hearing is essentially a hearing between you and the college and any questions put directly to you should be answered by you and not your companion, unless you request your companion to reply on your</w:t>
      </w:r>
      <w:r>
        <w:rPr>
          <w:spacing w:val="-18"/>
        </w:rPr>
        <w:t xml:space="preserve"> </w:t>
      </w:r>
      <w:r>
        <w:t>behalf.</w:t>
      </w:r>
    </w:p>
    <w:p w:rsidR="00E3201C" w:rsidRDefault="00E3201C" w:rsidP="0035071C">
      <w:pPr>
        <w:pStyle w:val="BodyText"/>
        <w:rPr>
          <w:sz w:val="21"/>
        </w:rPr>
      </w:pPr>
    </w:p>
    <w:p w:rsidR="00E3201C" w:rsidRPr="0035071C" w:rsidRDefault="009A7FFD" w:rsidP="0035071C">
      <w:pPr>
        <w:pStyle w:val="Heading1"/>
        <w:numPr>
          <w:ilvl w:val="0"/>
          <w:numId w:val="2"/>
        </w:numPr>
        <w:tabs>
          <w:tab w:val="left" w:pos="840"/>
          <w:tab w:val="left" w:pos="841"/>
        </w:tabs>
        <w:rPr>
          <w:b w:val="0"/>
          <w:sz w:val="28"/>
          <w:szCs w:val="28"/>
        </w:rPr>
      </w:pPr>
      <w:r w:rsidRPr="0035071C">
        <w:rPr>
          <w:b w:val="0"/>
          <w:sz w:val="28"/>
          <w:szCs w:val="28"/>
        </w:rPr>
        <w:t>Outcome</w:t>
      </w:r>
    </w:p>
    <w:p w:rsidR="00E3201C" w:rsidRDefault="00E3201C" w:rsidP="0035071C">
      <w:pPr>
        <w:pStyle w:val="BodyText"/>
        <w:rPr>
          <w:b/>
        </w:rPr>
      </w:pPr>
    </w:p>
    <w:p w:rsidR="00152D4D" w:rsidRDefault="009A7FFD" w:rsidP="00152D4D">
      <w:pPr>
        <w:pStyle w:val="ListParagraph"/>
        <w:numPr>
          <w:ilvl w:val="1"/>
          <w:numId w:val="2"/>
        </w:numPr>
        <w:tabs>
          <w:tab w:val="left" w:pos="840"/>
          <w:tab w:val="left" w:pos="841"/>
        </w:tabs>
        <w:ind w:left="840" w:hanging="721"/>
      </w:pPr>
      <w:r>
        <w:t>The outcome of the appeal may</w:t>
      </w:r>
      <w:r>
        <w:rPr>
          <w:spacing w:val="-12"/>
        </w:rPr>
        <w:t xml:space="preserve"> </w:t>
      </w:r>
      <w:r>
        <w:t>be:</w:t>
      </w:r>
    </w:p>
    <w:p w:rsidR="00152D4D" w:rsidRDefault="00152D4D" w:rsidP="00152D4D">
      <w:pPr>
        <w:tabs>
          <w:tab w:val="left" w:pos="840"/>
          <w:tab w:val="left" w:pos="841"/>
        </w:tabs>
        <w:ind w:left="119"/>
      </w:pPr>
    </w:p>
    <w:p w:rsidR="00152D4D" w:rsidRDefault="009A7FFD" w:rsidP="00152D4D">
      <w:pPr>
        <w:pStyle w:val="ListParagraph"/>
        <w:numPr>
          <w:ilvl w:val="0"/>
          <w:numId w:val="4"/>
        </w:numPr>
        <w:tabs>
          <w:tab w:val="left" w:pos="840"/>
          <w:tab w:val="left" w:pos="841"/>
        </w:tabs>
      </w:pPr>
      <w:r>
        <w:t>To confirm the decision of the attendance, admissions, complaints, harassment or disciplinary panel or to confirm the assessment decision.</w:t>
      </w:r>
    </w:p>
    <w:p w:rsidR="00152D4D" w:rsidRDefault="00152D4D" w:rsidP="00152D4D">
      <w:pPr>
        <w:pStyle w:val="ListParagraph"/>
        <w:tabs>
          <w:tab w:val="left" w:pos="840"/>
          <w:tab w:val="left" w:pos="841"/>
        </w:tabs>
        <w:ind w:left="1560" w:firstLine="0"/>
      </w:pPr>
    </w:p>
    <w:p w:rsidR="00E3201C" w:rsidRDefault="009A7FFD" w:rsidP="00152D4D">
      <w:pPr>
        <w:pStyle w:val="ListParagraph"/>
        <w:numPr>
          <w:ilvl w:val="0"/>
          <w:numId w:val="4"/>
        </w:numPr>
        <w:tabs>
          <w:tab w:val="left" w:pos="840"/>
          <w:tab w:val="left" w:pos="841"/>
        </w:tabs>
      </w:pPr>
      <w:r>
        <w:t>To modify or overturn the decision of the attendance, admissions, complaints, harassment or disciplinary panel or to modify or overturn the assessment</w:t>
      </w:r>
      <w:r w:rsidRPr="00152D4D">
        <w:rPr>
          <w:spacing w:val="-4"/>
        </w:rPr>
        <w:t xml:space="preserve"> </w:t>
      </w:r>
      <w:r>
        <w:t>decision.</w:t>
      </w:r>
    </w:p>
    <w:p w:rsidR="00E3201C" w:rsidRDefault="00E3201C" w:rsidP="0035071C">
      <w:pPr>
        <w:pStyle w:val="BodyText"/>
        <w:rPr>
          <w:sz w:val="21"/>
        </w:rPr>
      </w:pPr>
    </w:p>
    <w:p w:rsidR="0035071C" w:rsidRPr="0035071C" w:rsidRDefault="00152D4D" w:rsidP="0035071C">
      <w:pPr>
        <w:pStyle w:val="Heading1"/>
        <w:numPr>
          <w:ilvl w:val="0"/>
          <w:numId w:val="2"/>
        </w:numPr>
        <w:rPr>
          <w:b w:val="0"/>
          <w:sz w:val="28"/>
          <w:szCs w:val="28"/>
        </w:rPr>
      </w:pPr>
      <w:r>
        <w:rPr>
          <w:b w:val="0"/>
          <w:sz w:val="28"/>
          <w:szCs w:val="28"/>
        </w:rPr>
        <w:t>Judgement</w:t>
      </w:r>
    </w:p>
    <w:p w:rsidR="0035071C" w:rsidRDefault="0035071C" w:rsidP="0035071C">
      <w:pPr>
        <w:tabs>
          <w:tab w:val="left" w:pos="841"/>
          <w:tab w:val="left" w:pos="841"/>
        </w:tabs>
        <w:ind w:left="119" w:right="214"/>
        <w:jc w:val="both"/>
      </w:pPr>
    </w:p>
    <w:p w:rsidR="00152D4D" w:rsidRDefault="00152D4D" w:rsidP="00152D4D">
      <w:pPr>
        <w:tabs>
          <w:tab w:val="left" w:pos="841"/>
          <w:tab w:val="left" w:pos="841"/>
        </w:tabs>
        <w:ind w:left="840" w:right="214"/>
        <w:jc w:val="both"/>
      </w:pPr>
      <w:r>
        <w:tab/>
      </w:r>
      <w:r w:rsidR="009A7FFD">
        <w:t>The judgment of the appeals panel is final and there is no further right of appeal. This will be issued in writing to the learner within 3 working term time days of the</w:t>
      </w:r>
      <w:r w:rsidR="009A7FFD" w:rsidRPr="0035071C">
        <w:rPr>
          <w:spacing w:val="-6"/>
        </w:rPr>
        <w:t xml:space="preserve"> </w:t>
      </w:r>
      <w:r w:rsidR="009A7FFD">
        <w:t>hearing.</w:t>
      </w:r>
    </w:p>
    <w:p w:rsidR="00152D4D" w:rsidRDefault="00152D4D">
      <w:r>
        <w:br w:type="page"/>
      </w:r>
    </w:p>
    <w:p w:rsidR="00E3201C" w:rsidRPr="0035071C" w:rsidRDefault="009A7FFD" w:rsidP="0035071C">
      <w:pPr>
        <w:pStyle w:val="Heading1"/>
        <w:numPr>
          <w:ilvl w:val="0"/>
          <w:numId w:val="2"/>
        </w:numPr>
        <w:rPr>
          <w:b w:val="0"/>
          <w:sz w:val="28"/>
          <w:szCs w:val="28"/>
        </w:rPr>
      </w:pPr>
      <w:r w:rsidRPr="0035071C">
        <w:rPr>
          <w:b w:val="0"/>
          <w:sz w:val="28"/>
          <w:szCs w:val="28"/>
        </w:rPr>
        <w:lastRenderedPageBreak/>
        <w:t>The Welsh Language</w:t>
      </w:r>
    </w:p>
    <w:p w:rsidR="00E3201C" w:rsidRDefault="00E3201C" w:rsidP="0035071C">
      <w:pPr>
        <w:pStyle w:val="BodyText"/>
        <w:rPr>
          <w:b/>
        </w:rPr>
      </w:pPr>
    </w:p>
    <w:p w:rsidR="00225497" w:rsidRDefault="009A7FFD" w:rsidP="0035071C">
      <w:pPr>
        <w:pStyle w:val="ListParagraph"/>
        <w:numPr>
          <w:ilvl w:val="1"/>
          <w:numId w:val="2"/>
        </w:numPr>
        <w:tabs>
          <w:tab w:val="left" w:pos="839"/>
          <w:tab w:val="left" w:pos="840"/>
        </w:tabs>
        <w:ind w:right="121"/>
      </w:pPr>
      <w:r>
        <w:t>Mae Coleg Gŵyr Abertawe yn ymrwymedig i hyrwyddo’r iaith Gymraeg, yn unol â Safonau’r Iaith Gymraeg a Mesur y Gymraeg (Cymru)</w:t>
      </w:r>
      <w:r>
        <w:rPr>
          <w:spacing w:val="-21"/>
        </w:rPr>
        <w:t xml:space="preserve"> </w:t>
      </w:r>
      <w:r>
        <w:t>2011.</w:t>
      </w:r>
    </w:p>
    <w:p w:rsidR="00225497" w:rsidRDefault="00225497" w:rsidP="0035071C">
      <w:pPr>
        <w:pStyle w:val="ListParagraph"/>
        <w:tabs>
          <w:tab w:val="left" w:pos="839"/>
          <w:tab w:val="left" w:pos="840"/>
        </w:tabs>
        <w:ind w:right="121" w:firstLine="0"/>
      </w:pPr>
    </w:p>
    <w:p w:rsidR="00225497" w:rsidRDefault="009A7FFD" w:rsidP="0035071C">
      <w:pPr>
        <w:pStyle w:val="ListParagraph"/>
        <w:numPr>
          <w:ilvl w:val="1"/>
          <w:numId w:val="2"/>
        </w:numPr>
        <w:tabs>
          <w:tab w:val="left" w:pos="839"/>
          <w:tab w:val="left" w:pos="840"/>
        </w:tabs>
        <w:ind w:right="121"/>
      </w:pPr>
      <w:r>
        <w:t>Gower College Swansea is committed to the promotion of the Welsh language, in accordance with the Welsh Language Standards and the Welsh Language (Wales) Measure</w:t>
      </w:r>
      <w:r w:rsidRPr="00225497">
        <w:rPr>
          <w:spacing w:val="-8"/>
        </w:rPr>
        <w:t xml:space="preserve"> </w:t>
      </w:r>
      <w:r>
        <w:t>2011.</w:t>
      </w:r>
    </w:p>
    <w:p w:rsidR="00225497" w:rsidRPr="003D2128" w:rsidRDefault="00225497" w:rsidP="0035071C">
      <w:pPr>
        <w:pStyle w:val="ListParagraph"/>
        <w:tabs>
          <w:tab w:val="left" w:pos="839"/>
          <w:tab w:val="left" w:pos="840"/>
        </w:tabs>
        <w:ind w:right="121" w:firstLine="0"/>
      </w:pPr>
    </w:p>
    <w:p w:rsidR="005F4FE8" w:rsidRPr="003D2128" w:rsidRDefault="005F4FE8" w:rsidP="0035071C">
      <w:pPr>
        <w:pStyle w:val="ListParagraph"/>
        <w:numPr>
          <w:ilvl w:val="1"/>
          <w:numId w:val="2"/>
        </w:numPr>
        <w:tabs>
          <w:tab w:val="left" w:pos="839"/>
          <w:tab w:val="left" w:pos="840"/>
        </w:tabs>
        <w:ind w:right="121"/>
      </w:pPr>
      <w:r w:rsidRPr="003D2128">
        <w:t>Appeals are welcome in Welsh and doing so will not delay the response</w:t>
      </w:r>
      <w:r w:rsidR="00A6526D" w:rsidRPr="003D2128">
        <w:t>.</w:t>
      </w:r>
    </w:p>
    <w:p w:rsidR="00B84833" w:rsidRPr="003D2128" w:rsidRDefault="00B84833" w:rsidP="0035071C">
      <w:pPr>
        <w:pStyle w:val="ListParagraph"/>
      </w:pPr>
    </w:p>
    <w:p w:rsidR="00EB5A26" w:rsidRDefault="00B84833" w:rsidP="00D45E41">
      <w:pPr>
        <w:pStyle w:val="ListParagraph"/>
        <w:numPr>
          <w:ilvl w:val="1"/>
          <w:numId w:val="2"/>
        </w:numPr>
        <w:tabs>
          <w:tab w:val="left" w:pos="839"/>
          <w:tab w:val="left" w:pos="840"/>
        </w:tabs>
        <w:ind w:right="732"/>
      </w:pPr>
      <w:r w:rsidRPr="003D2128">
        <w:t xml:space="preserve">If you are a Welsh speaker and wish to have your appeal meeting held through the medium of Welsh please let us know in your letter of appeal. </w:t>
      </w:r>
    </w:p>
    <w:p w:rsidR="007226B4" w:rsidRDefault="007226B4" w:rsidP="007226B4">
      <w:pPr>
        <w:tabs>
          <w:tab w:val="left" w:pos="839"/>
          <w:tab w:val="left" w:pos="840"/>
        </w:tabs>
        <w:ind w:right="732"/>
      </w:pPr>
    </w:p>
    <w:p w:rsidR="00EB5A26" w:rsidRPr="007226B4" w:rsidRDefault="00152D4D" w:rsidP="0035071C">
      <w:pPr>
        <w:tabs>
          <w:tab w:val="left" w:pos="839"/>
          <w:tab w:val="left" w:pos="840"/>
        </w:tabs>
        <w:ind w:right="732"/>
        <w:rPr>
          <w:b/>
        </w:rPr>
      </w:pPr>
      <w:r w:rsidRPr="007226B4">
        <w:rPr>
          <w:b/>
        </w:rPr>
        <w:tab/>
      </w:r>
      <w:r w:rsidR="00EB5A26" w:rsidRPr="007226B4">
        <w:rPr>
          <w:b/>
        </w:rPr>
        <w:t>Th</w:t>
      </w:r>
      <w:r w:rsidR="00D22E80" w:rsidRPr="007226B4">
        <w:rPr>
          <w:b/>
        </w:rPr>
        <w:t>is procedure</w:t>
      </w:r>
      <w:r w:rsidR="00EB5A26" w:rsidRPr="007226B4">
        <w:rPr>
          <w:b/>
        </w:rPr>
        <w:t xml:space="preserve"> </w:t>
      </w:r>
      <w:r w:rsidR="00D22E80" w:rsidRPr="007226B4">
        <w:rPr>
          <w:b/>
        </w:rPr>
        <w:t>is</w:t>
      </w:r>
      <w:r w:rsidR="00EB5A26" w:rsidRPr="007226B4">
        <w:rPr>
          <w:b/>
        </w:rPr>
        <w:t xml:space="preserve"> also available in Welsh.</w:t>
      </w:r>
    </w:p>
    <w:sectPr w:rsidR="00EB5A26" w:rsidRPr="007226B4" w:rsidSect="00152D4D">
      <w:footerReference w:type="default" r:id="rId8"/>
      <w:pgSz w:w="11910" w:h="16840"/>
      <w:pgMar w:top="1230" w:right="1230" w:bottom="1230" w:left="123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023" w:rsidRDefault="009A7FFD">
      <w:r>
        <w:separator/>
      </w:r>
    </w:p>
  </w:endnote>
  <w:endnote w:type="continuationSeparator" w:id="0">
    <w:p w:rsidR="00624023" w:rsidRDefault="009A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109430"/>
      <w:docPartObj>
        <w:docPartGallery w:val="Page Numbers (Bottom of Page)"/>
        <w:docPartUnique/>
      </w:docPartObj>
    </w:sdtPr>
    <w:sdtEndPr/>
    <w:sdtContent>
      <w:sdt>
        <w:sdtPr>
          <w:id w:val="-1769616900"/>
          <w:docPartObj>
            <w:docPartGallery w:val="Page Numbers (Top of Page)"/>
            <w:docPartUnique/>
          </w:docPartObj>
        </w:sdtPr>
        <w:sdtEndPr/>
        <w:sdtContent>
          <w:p w:rsidR="00225497" w:rsidRDefault="00225497">
            <w:pPr>
              <w:pStyle w:val="Footer"/>
              <w:jc w:val="right"/>
            </w:pPr>
          </w:p>
          <w:p w:rsidR="00225497" w:rsidRDefault="00225497">
            <w:pPr>
              <w:pStyle w:val="Footer"/>
              <w:jc w:val="right"/>
            </w:pPr>
            <w:r w:rsidRPr="00225497">
              <w:t xml:space="preserve">Page </w:t>
            </w:r>
            <w:r w:rsidRPr="00225497">
              <w:rPr>
                <w:bCs/>
              </w:rPr>
              <w:fldChar w:fldCharType="begin"/>
            </w:r>
            <w:r w:rsidRPr="00225497">
              <w:rPr>
                <w:bCs/>
              </w:rPr>
              <w:instrText xml:space="preserve"> PAGE </w:instrText>
            </w:r>
            <w:r w:rsidRPr="00225497">
              <w:rPr>
                <w:bCs/>
              </w:rPr>
              <w:fldChar w:fldCharType="separate"/>
            </w:r>
            <w:r w:rsidR="00E353DF">
              <w:rPr>
                <w:bCs/>
                <w:noProof/>
              </w:rPr>
              <w:t>4</w:t>
            </w:r>
            <w:r w:rsidRPr="00225497">
              <w:rPr>
                <w:bCs/>
              </w:rPr>
              <w:fldChar w:fldCharType="end"/>
            </w:r>
            <w:r w:rsidRPr="00225497">
              <w:t xml:space="preserve"> of </w:t>
            </w:r>
            <w:r w:rsidRPr="00225497">
              <w:rPr>
                <w:bCs/>
              </w:rPr>
              <w:fldChar w:fldCharType="begin"/>
            </w:r>
            <w:r w:rsidRPr="00225497">
              <w:rPr>
                <w:bCs/>
              </w:rPr>
              <w:instrText xml:space="preserve"> NUMPAGES  </w:instrText>
            </w:r>
            <w:r w:rsidRPr="00225497">
              <w:rPr>
                <w:bCs/>
              </w:rPr>
              <w:fldChar w:fldCharType="separate"/>
            </w:r>
            <w:r w:rsidR="00E353DF">
              <w:rPr>
                <w:bCs/>
                <w:noProof/>
              </w:rPr>
              <w:t>4</w:t>
            </w:r>
            <w:r w:rsidRPr="00225497">
              <w:rPr>
                <w:bCs/>
              </w:rPr>
              <w:fldChar w:fldCharType="end"/>
            </w:r>
          </w:p>
        </w:sdtContent>
      </w:sdt>
    </w:sdtContent>
  </w:sdt>
  <w:p w:rsidR="00E3201C" w:rsidRDefault="00E320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023" w:rsidRDefault="009A7FFD">
      <w:r>
        <w:separator/>
      </w:r>
    </w:p>
  </w:footnote>
  <w:footnote w:type="continuationSeparator" w:id="0">
    <w:p w:rsidR="00624023" w:rsidRDefault="009A7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1BB"/>
    <w:multiLevelType w:val="hybridMultilevel"/>
    <w:tmpl w:val="764824E0"/>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4BE67703"/>
    <w:multiLevelType w:val="hybridMultilevel"/>
    <w:tmpl w:val="FF004EE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6C7C2598"/>
    <w:multiLevelType w:val="multilevel"/>
    <w:tmpl w:val="43AA2180"/>
    <w:lvl w:ilvl="0">
      <w:start w:val="1"/>
      <w:numFmt w:val="decimal"/>
      <w:lvlText w:val="%1."/>
      <w:lvlJc w:val="left"/>
      <w:pPr>
        <w:ind w:left="840" w:hanging="721"/>
      </w:pPr>
      <w:rPr>
        <w:rFonts w:ascii="Verdana" w:eastAsia="Verdana" w:hAnsi="Verdana" w:cs="Verdana" w:hint="default"/>
        <w:b w:val="0"/>
        <w:bCs/>
        <w:spacing w:val="-1"/>
        <w:w w:val="100"/>
        <w:sz w:val="28"/>
        <w:szCs w:val="28"/>
        <w:lang w:val="en-GB" w:eastAsia="en-GB" w:bidi="en-GB"/>
      </w:rPr>
    </w:lvl>
    <w:lvl w:ilvl="1">
      <w:start w:val="1"/>
      <w:numFmt w:val="decimal"/>
      <w:lvlText w:val="%1.%2"/>
      <w:lvlJc w:val="left"/>
      <w:pPr>
        <w:ind w:left="839" w:hanging="720"/>
      </w:pPr>
      <w:rPr>
        <w:rFonts w:ascii="Verdana" w:eastAsia="Verdana" w:hAnsi="Verdana" w:cs="Verdana" w:hint="default"/>
        <w:spacing w:val="-2"/>
        <w:w w:val="100"/>
        <w:sz w:val="22"/>
        <w:szCs w:val="22"/>
        <w:lang w:val="en-GB" w:eastAsia="en-GB" w:bidi="en-GB"/>
      </w:rPr>
    </w:lvl>
    <w:lvl w:ilvl="2">
      <w:numFmt w:val="bullet"/>
      <w:lvlText w:val=""/>
      <w:lvlJc w:val="left"/>
      <w:pPr>
        <w:ind w:left="1291" w:hanging="361"/>
      </w:pPr>
      <w:rPr>
        <w:rFonts w:ascii="Symbol" w:eastAsia="Symbol" w:hAnsi="Symbol" w:cs="Symbol" w:hint="default"/>
        <w:w w:val="100"/>
        <w:sz w:val="22"/>
        <w:szCs w:val="22"/>
        <w:lang w:val="en-GB" w:eastAsia="en-GB" w:bidi="en-GB"/>
      </w:rPr>
    </w:lvl>
    <w:lvl w:ilvl="3">
      <w:numFmt w:val="bullet"/>
      <w:lvlText w:val="•"/>
      <w:lvlJc w:val="left"/>
      <w:pPr>
        <w:ind w:left="2293" w:hanging="361"/>
      </w:pPr>
      <w:rPr>
        <w:rFonts w:hint="default"/>
        <w:lang w:val="en-GB" w:eastAsia="en-GB" w:bidi="en-GB"/>
      </w:rPr>
    </w:lvl>
    <w:lvl w:ilvl="4">
      <w:numFmt w:val="bullet"/>
      <w:lvlText w:val="•"/>
      <w:lvlJc w:val="left"/>
      <w:pPr>
        <w:ind w:left="3286" w:hanging="361"/>
      </w:pPr>
      <w:rPr>
        <w:rFonts w:hint="default"/>
        <w:lang w:val="en-GB" w:eastAsia="en-GB" w:bidi="en-GB"/>
      </w:rPr>
    </w:lvl>
    <w:lvl w:ilvl="5">
      <w:numFmt w:val="bullet"/>
      <w:lvlText w:val="•"/>
      <w:lvlJc w:val="left"/>
      <w:pPr>
        <w:ind w:left="4279" w:hanging="361"/>
      </w:pPr>
      <w:rPr>
        <w:rFonts w:hint="default"/>
        <w:lang w:val="en-GB" w:eastAsia="en-GB" w:bidi="en-GB"/>
      </w:rPr>
    </w:lvl>
    <w:lvl w:ilvl="6">
      <w:numFmt w:val="bullet"/>
      <w:lvlText w:val="•"/>
      <w:lvlJc w:val="left"/>
      <w:pPr>
        <w:ind w:left="5273" w:hanging="361"/>
      </w:pPr>
      <w:rPr>
        <w:rFonts w:hint="default"/>
        <w:lang w:val="en-GB" w:eastAsia="en-GB" w:bidi="en-GB"/>
      </w:rPr>
    </w:lvl>
    <w:lvl w:ilvl="7">
      <w:numFmt w:val="bullet"/>
      <w:lvlText w:val="•"/>
      <w:lvlJc w:val="left"/>
      <w:pPr>
        <w:ind w:left="6266" w:hanging="361"/>
      </w:pPr>
      <w:rPr>
        <w:rFonts w:hint="default"/>
        <w:lang w:val="en-GB" w:eastAsia="en-GB" w:bidi="en-GB"/>
      </w:rPr>
    </w:lvl>
    <w:lvl w:ilvl="8">
      <w:numFmt w:val="bullet"/>
      <w:lvlText w:val="•"/>
      <w:lvlJc w:val="left"/>
      <w:pPr>
        <w:ind w:left="7259" w:hanging="361"/>
      </w:pPr>
      <w:rPr>
        <w:rFonts w:hint="default"/>
        <w:lang w:val="en-GB" w:eastAsia="en-GB" w:bidi="en-GB"/>
      </w:rPr>
    </w:lvl>
  </w:abstractNum>
  <w:abstractNum w:abstractNumId="3" w15:restartNumberingAfterBreak="0">
    <w:nsid w:val="6F1E281E"/>
    <w:multiLevelType w:val="hybridMultilevel"/>
    <w:tmpl w:val="99E42CDC"/>
    <w:lvl w:ilvl="0" w:tplc="08090001">
      <w:start w:val="1"/>
      <w:numFmt w:val="bullet"/>
      <w:lvlText w:val=""/>
      <w:lvlJc w:val="left"/>
      <w:pPr>
        <w:ind w:left="1111" w:hanging="284"/>
      </w:pPr>
      <w:rPr>
        <w:rFonts w:ascii="Symbol" w:hAnsi="Symbol" w:hint="default"/>
        <w:w w:val="100"/>
        <w:sz w:val="22"/>
        <w:szCs w:val="22"/>
        <w:lang w:val="en-GB" w:eastAsia="en-GB" w:bidi="en-GB"/>
      </w:rPr>
    </w:lvl>
    <w:lvl w:ilvl="1" w:tplc="25FA3822">
      <w:numFmt w:val="bullet"/>
      <w:lvlText w:val="•"/>
      <w:lvlJc w:val="left"/>
      <w:pPr>
        <w:ind w:left="1932" w:hanging="284"/>
      </w:pPr>
      <w:rPr>
        <w:rFonts w:hint="default"/>
        <w:lang w:val="en-GB" w:eastAsia="en-GB" w:bidi="en-GB"/>
      </w:rPr>
    </w:lvl>
    <w:lvl w:ilvl="2" w:tplc="033A4604">
      <w:numFmt w:val="bullet"/>
      <w:lvlText w:val="•"/>
      <w:lvlJc w:val="left"/>
      <w:pPr>
        <w:ind w:left="2745" w:hanging="284"/>
      </w:pPr>
      <w:rPr>
        <w:rFonts w:hint="default"/>
        <w:lang w:val="en-GB" w:eastAsia="en-GB" w:bidi="en-GB"/>
      </w:rPr>
    </w:lvl>
    <w:lvl w:ilvl="3" w:tplc="8E46B664">
      <w:numFmt w:val="bullet"/>
      <w:lvlText w:val="•"/>
      <w:lvlJc w:val="left"/>
      <w:pPr>
        <w:ind w:left="3557" w:hanging="284"/>
      </w:pPr>
      <w:rPr>
        <w:rFonts w:hint="default"/>
        <w:lang w:val="en-GB" w:eastAsia="en-GB" w:bidi="en-GB"/>
      </w:rPr>
    </w:lvl>
    <w:lvl w:ilvl="4" w:tplc="AE6C080C">
      <w:numFmt w:val="bullet"/>
      <w:lvlText w:val="•"/>
      <w:lvlJc w:val="left"/>
      <w:pPr>
        <w:ind w:left="4370" w:hanging="284"/>
      </w:pPr>
      <w:rPr>
        <w:rFonts w:hint="default"/>
        <w:lang w:val="en-GB" w:eastAsia="en-GB" w:bidi="en-GB"/>
      </w:rPr>
    </w:lvl>
    <w:lvl w:ilvl="5" w:tplc="F190DBFC">
      <w:numFmt w:val="bullet"/>
      <w:lvlText w:val="•"/>
      <w:lvlJc w:val="left"/>
      <w:pPr>
        <w:ind w:left="5183" w:hanging="284"/>
      </w:pPr>
      <w:rPr>
        <w:rFonts w:hint="default"/>
        <w:lang w:val="en-GB" w:eastAsia="en-GB" w:bidi="en-GB"/>
      </w:rPr>
    </w:lvl>
    <w:lvl w:ilvl="6" w:tplc="14B823C8">
      <w:numFmt w:val="bullet"/>
      <w:lvlText w:val="•"/>
      <w:lvlJc w:val="left"/>
      <w:pPr>
        <w:ind w:left="5995" w:hanging="284"/>
      </w:pPr>
      <w:rPr>
        <w:rFonts w:hint="default"/>
        <w:lang w:val="en-GB" w:eastAsia="en-GB" w:bidi="en-GB"/>
      </w:rPr>
    </w:lvl>
    <w:lvl w:ilvl="7" w:tplc="0A88827C">
      <w:numFmt w:val="bullet"/>
      <w:lvlText w:val="•"/>
      <w:lvlJc w:val="left"/>
      <w:pPr>
        <w:ind w:left="6808" w:hanging="284"/>
      </w:pPr>
      <w:rPr>
        <w:rFonts w:hint="default"/>
        <w:lang w:val="en-GB" w:eastAsia="en-GB" w:bidi="en-GB"/>
      </w:rPr>
    </w:lvl>
    <w:lvl w:ilvl="8" w:tplc="321E31C6">
      <w:numFmt w:val="bullet"/>
      <w:lvlText w:val="•"/>
      <w:lvlJc w:val="left"/>
      <w:pPr>
        <w:ind w:left="7621" w:hanging="284"/>
      </w:pPr>
      <w:rPr>
        <w:rFonts w:hint="default"/>
        <w:lang w:val="en-GB" w:eastAsia="en-GB" w:bidi="en-GB"/>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f344CnHnLqIsXjk9xMZ03ivhoST43zbHw3tCD9bsg4NyB22iv/AxyDZR7ox7kKP4FXC+D0M25ek/dQ56vWI3A==" w:salt="4UN102Mo8lEdKITxjM84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1C"/>
    <w:rsid w:val="00005B55"/>
    <w:rsid w:val="0009059C"/>
    <w:rsid w:val="00152D4D"/>
    <w:rsid w:val="001A3712"/>
    <w:rsid w:val="00225497"/>
    <w:rsid w:val="003054A9"/>
    <w:rsid w:val="0035071C"/>
    <w:rsid w:val="003D2128"/>
    <w:rsid w:val="00473C00"/>
    <w:rsid w:val="004A59D9"/>
    <w:rsid w:val="00566426"/>
    <w:rsid w:val="005F4FE8"/>
    <w:rsid w:val="00624023"/>
    <w:rsid w:val="007226B4"/>
    <w:rsid w:val="00730DEA"/>
    <w:rsid w:val="007B6858"/>
    <w:rsid w:val="009A7FFD"/>
    <w:rsid w:val="009F3829"/>
    <w:rsid w:val="00A6526D"/>
    <w:rsid w:val="00B84833"/>
    <w:rsid w:val="00C55259"/>
    <w:rsid w:val="00D22E80"/>
    <w:rsid w:val="00E3201C"/>
    <w:rsid w:val="00E353DF"/>
    <w:rsid w:val="00E46440"/>
    <w:rsid w:val="00EB5A26"/>
    <w:rsid w:val="00F0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D7C9"/>
  <w15:docId w15:val="{4062D67C-A9FC-4FF9-A813-87B19123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uiPriority w:val="1"/>
    <w:qFormat/>
    <w:pPr>
      <w:ind w:left="8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5497"/>
    <w:pPr>
      <w:tabs>
        <w:tab w:val="center" w:pos="4513"/>
        <w:tab w:val="right" w:pos="9026"/>
      </w:tabs>
    </w:pPr>
  </w:style>
  <w:style w:type="character" w:customStyle="1" w:styleId="HeaderChar">
    <w:name w:val="Header Char"/>
    <w:basedOn w:val="DefaultParagraphFont"/>
    <w:link w:val="Header"/>
    <w:uiPriority w:val="99"/>
    <w:rsid w:val="00225497"/>
    <w:rPr>
      <w:rFonts w:ascii="Verdana" w:eastAsia="Verdana" w:hAnsi="Verdana" w:cs="Verdana"/>
      <w:lang w:val="en-GB" w:eastAsia="en-GB" w:bidi="en-GB"/>
    </w:rPr>
  </w:style>
  <w:style w:type="paragraph" w:styleId="Footer">
    <w:name w:val="footer"/>
    <w:basedOn w:val="Normal"/>
    <w:link w:val="FooterChar"/>
    <w:unhideWhenUsed/>
    <w:rsid w:val="00225497"/>
    <w:pPr>
      <w:tabs>
        <w:tab w:val="center" w:pos="4513"/>
        <w:tab w:val="right" w:pos="9026"/>
      </w:tabs>
    </w:pPr>
  </w:style>
  <w:style w:type="character" w:customStyle="1" w:styleId="FooterChar">
    <w:name w:val="Footer Char"/>
    <w:basedOn w:val="DefaultParagraphFont"/>
    <w:link w:val="Footer"/>
    <w:rsid w:val="00225497"/>
    <w:rPr>
      <w:rFonts w:ascii="Verdana" w:eastAsia="Verdana" w:hAnsi="Verdana" w:cs="Verdana"/>
      <w:lang w:val="en-GB" w:eastAsia="en-GB" w:bidi="en-GB"/>
    </w:rPr>
  </w:style>
  <w:style w:type="table" w:styleId="TableGrid">
    <w:name w:val="Table Grid"/>
    <w:basedOn w:val="TableNormal"/>
    <w:rsid w:val="00225497"/>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507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1C"/>
    <w:rPr>
      <w:rFonts w:asciiTheme="majorHAnsi" w:eastAsiaTheme="majorEastAsia" w:hAnsiTheme="majorHAnsi" w:cstheme="majorBidi"/>
      <w:spacing w:val="-10"/>
      <w:kern w:val="28"/>
      <w:sz w:val="56"/>
      <w:szCs w:val="5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879</Words>
  <Characters>4503</Characters>
  <Application>Microsoft Office Word</Application>
  <DocSecurity>8</DocSecurity>
  <Lines>145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John</dc:creator>
  <cp:lastModifiedBy>Beverley Hunt</cp:lastModifiedBy>
  <cp:revision>17</cp:revision>
  <dcterms:created xsi:type="dcterms:W3CDTF">2020-03-27T13:45:00Z</dcterms:created>
  <dcterms:modified xsi:type="dcterms:W3CDTF">2024-06-12T09:49:00Z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Acrobat PDFMaker 15 for Word</vt:lpwstr>
  </property>
  <property fmtid="{D5CDD505-2E9C-101B-9397-08002B2CF9AE}" pid="4" name="LastSaved">
    <vt:filetime>2020-02-10T00:00:00Z</vt:filetime>
  </property>
</Properties>
</file>